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F4" w:rsidRPr="000C2E6A" w:rsidRDefault="000C2E6A" w:rsidP="000C2E6A">
      <w:pPr>
        <w:shd w:val="clear" w:color="auto" w:fill="FFFFFF"/>
        <w:spacing w:after="0" w:line="319" w:lineRule="atLeast"/>
        <w:jc w:val="both"/>
        <w:rPr>
          <w:rFonts w:ascii="Calibri" w:eastAsia="Times New Roman" w:hAnsi="Calibri" w:cs="Calibri"/>
          <w:b/>
          <w:bCs/>
          <w:color w:val="444444"/>
          <w:sz w:val="32"/>
          <w:szCs w:val="32"/>
          <w:u w:val="single"/>
          <w:lang w:eastAsia="es-MX"/>
        </w:rPr>
      </w:pPr>
      <w:r>
        <w:rPr>
          <w:rFonts w:ascii="Calibri" w:eastAsia="Times New Roman" w:hAnsi="Calibri" w:cs="Calibri"/>
          <w:b/>
          <w:bCs/>
          <w:color w:val="444444"/>
          <w:sz w:val="32"/>
          <w:szCs w:val="32"/>
          <w:u w:val="single"/>
          <w:lang w:eastAsia="es-MX"/>
        </w:rPr>
        <w:t>Circular 8</w:t>
      </w:r>
      <w:r w:rsidR="00A651D8">
        <w:rPr>
          <w:rFonts w:ascii="Calibri" w:eastAsia="Times New Roman" w:hAnsi="Calibri" w:cs="Calibri"/>
          <w:b/>
          <w:bCs/>
          <w:color w:val="444444"/>
          <w:sz w:val="32"/>
          <w:szCs w:val="32"/>
          <w:u w:val="single"/>
          <w:lang w:eastAsia="es-MX"/>
        </w:rPr>
        <w:t>/2014 Análisis Financiero y Presupuestal</w:t>
      </w:r>
      <w:r w:rsidRPr="000C2E6A">
        <w:rPr>
          <w:rFonts w:ascii="Calibri" w:eastAsia="Times New Roman" w:hAnsi="Calibri" w:cs="Calibri"/>
          <w:b/>
          <w:bCs/>
          <w:color w:val="444444"/>
          <w:sz w:val="32"/>
          <w:szCs w:val="32"/>
          <w:u w:val="single"/>
          <w:lang w:eastAsia="es-MX"/>
        </w:rPr>
        <w:t>. Cuenta de Objeto de Gasto para el registro de Aportaciones a Obra.</w:t>
      </w:r>
    </w:p>
    <w:p w:rsidR="000C2E6A" w:rsidRDefault="000C2E6A">
      <w:pPr>
        <w:rPr>
          <w:rFonts w:ascii="Calibri" w:hAnsi="Calibri" w:cs="Calibri"/>
          <w:b/>
          <w:bCs/>
          <w:color w:val="002060"/>
          <w:sz w:val="23"/>
          <w:szCs w:val="23"/>
          <w:shd w:val="clear" w:color="auto" w:fill="FFFFFF"/>
        </w:rPr>
      </w:pPr>
    </w:p>
    <w:p w:rsidR="000C2E6A" w:rsidRPr="000C2E6A" w:rsidRDefault="000C2E6A" w:rsidP="000C2E6A">
      <w:pPr>
        <w:shd w:val="clear" w:color="auto" w:fill="FFFFFF"/>
        <w:spacing w:after="324" w:line="319" w:lineRule="atLeast"/>
        <w:jc w:val="both"/>
        <w:rPr>
          <w:rFonts w:ascii="Calibri" w:eastAsia="Times New Roman" w:hAnsi="Calibri" w:cs="Calibri"/>
          <w:color w:val="444444"/>
          <w:sz w:val="23"/>
          <w:szCs w:val="23"/>
          <w:lang w:eastAsia="es-MX"/>
        </w:rPr>
      </w:pPr>
      <w:r w:rsidRPr="000C2E6A">
        <w:rPr>
          <w:rFonts w:ascii="Calibri" w:eastAsia="Times New Roman" w:hAnsi="Calibri" w:cs="Calibri"/>
          <w:b/>
          <w:bCs/>
          <w:color w:val="002060"/>
          <w:sz w:val="23"/>
          <w:szCs w:val="23"/>
          <w:lang w:eastAsia="es-MX"/>
        </w:rPr>
        <w:t xml:space="preserve">4200 TRANSFERENCIAS AL RESTO DEL SECTOR </w:t>
      </w:r>
      <w:proofErr w:type="gramStart"/>
      <w:r w:rsidRPr="000C2E6A">
        <w:rPr>
          <w:rFonts w:ascii="Calibri" w:eastAsia="Times New Roman" w:hAnsi="Calibri" w:cs="Calibri"/>
          <w:b/>
          <w:bCs/>
          <w:color w:val="002060"/>
          <w:sz w:val="23"/>
          <w:szCs w:val="23"/>
          <w:lang w:eastAsia="es-MX"/>
        </w:rPr>
        <w:t>PUBLICO</w:t>
      </w:r>
      <w:proofErr w:type="gramEnd"/>
    </w:p>
    <w:p w:rsidR="000C2E6A" w:rsidRPr="000C2E6A" w:rsidRDefault="000C2E6A" w:rsidP="000C2E6A">
      <w:pPr>
        <w:shd w:val="clear" w:color="auto" w:fill="FFFFFF"/>
        <w:spacing w:after="324" w:line="319" w:lineRule="atLeast"/>
        <w:jc w:val="both"/>
        <w:rPr>
          <w:rFonts w:ascii="Calibri" w:eastAsia="Times New Roman" w:hAnsi="Calibri" w:cs="Calibri"/>
          <w:color w:val="444444"/>
          <w:sz w:val="23"/>
          <w:szCs w:val="23"/>
          <w:lang w:eastAsia="es-MX"/>
        </w:rPr>
      </w:pPr>
      <w:r w:rsidRPr="000C2E6A">
        <w:rPr>
          <w:rFonts w:ascii="Calibri" w:eastAsia="Times New Roman" w:hAnsi="Calibri" w:cs="Calibri"/>
          <w:color w:val="002060"/>
          <w:sz w:val="23"/>
          <w:szCs w:val="23"/>
          <w:lang w:eastAsia="es-MX"/>
        </w:rPr>
        <w:t>Asignaciones destinadas, en su caso, a entes públicos, otorgados por otros, con el objeto de sufragar gastos inherentes a sus atribuciones.</w:t>
      </w:r>
    </w:p>
    <w:p w:rsidR="000C2E6A" w:rsidRPr="000C2E6A" w:rsidRDefault="000C2E6A" w:rsidP="000C2E6A">
      <w:pPr>
        <w:shd w:val="clear" w:color="auto" w:fill="FFFFFF"/>
        <w:spacing w:after="324" w:line="319" w:lineRule="atLeast"/>
        <w:jc w:val="both"/>
        <w:rPr>
          <w:rFonts w:ascii="Calibri" w:eastAsia="Times New Roman" w:hAnsi="Calibri" w:cs="Calibri"/>
          <w:color w:val="444444"/>
          <w:sz w:val="23"/>
          <w:szCs w:val="23"/>
          <w:lang w:eastAsia="es-MX"/>
        </w:rPr>
      </w:pPr>
      <w:r w:rsidRPr="000C2E6A">
        <w:rPr>
          <w:rFonts w:ascii="Calibri" w:eastAsia="Times New Roman" w:hAnsi="Calibri" w:cs="Calibri"/>
          <w:b/>
          <w:bCs/>
          <w:color w:val="444444"/>
          <w:sz w:val="23"/>
          <w:szCs w:val="23"/>
          <w:lang w:eastAsia="es-MX"/>
        </w:rPr>
        <w:t> </w:t>
      </w:r>
    </w:p>
    <w:p w:rsidR="000C2E6A" w:rsidRPr="000C2E6A" w:rsidRDefault="000C2E6A" w:rsidP="000C2E6A">
      <w:pPr>
        <w:shd w:val="clear" w:color="auto" w:fill="FFFFFF"/>
        <w:spacing w:after="324" w:line="319" w:lineRule="atLeast"/>
        <w:jc w:val="both"/>
        <w:rPr>
          <w:rFonts w:ascii="Calibri" w:eastAsia="Times New Roman" w:hAnsi="Calibri" w:cs="Calibri"/>
          <w:color w:val="444444"/>
          <w:sz w:val="23"/>
          <w:szCs w:val="23"/>
          <w:lang w:eastAsia="es-MX"/>
        </w:rPr>
      </w:pPr>
      <w:r w:rsidRPr="000C2E6A">
        <w:rPr>
          <w:rFonts w:ascii="Calibri" w:eastAsia="Times New Roman" w:hAnsi="Calibri" w:cs="Calibri"/>
          <w:color w:val="002060"/>
          <w:sz w:val="23"/>
          <w:szCs w:val="23"/>
          <w:lang w:eastAsia="es-MX"/>
        </w:rPr>
        <w:t xml:space="preserve">4240 TRANSFERENCIAS OTORGADAS A ENTIDADES FEDERATIVAS Y MUNICIPIOS: Asignaciones </w:t>
      </w:r>
      <w:bookmarkStart w:id="0" w:name="_GoBack"/>
      <w:bookmarkEnd w:id="0"/>
      <w:r w:rsidRPr="000C2E6A">
        <w:rPr>
          <w:rFonts w:ascii="Calibri" w:eastAsia="Times New Roman" w:hAnsi="Calibri" w:cs="Calibri"/>
          <w:color w:val="002060"/>
          <w:sz w:val="23"/>
          <w:szCs w:val="23"/>
          <w:lang w:eastAsia="es-MX"/>
        </w:rPr>
        <w:t>que no suponen la contraprestación de bienes o servicios, destinados a favor de los estados, municipios y Distrito Federal, con la finalidad de apoyarlos en sus funciones y que no corresponden a conceptos incluidos en el Capítulo 8000 Participaciones y Aportaciones.</w:t>
      </w:r>
    </w:p>
    <w:p w:rsidR="000C2E6A" w:rsidRPr="000C2E6A" w:rsidRDefault="000C2E6A" w:rsidP="000C2E6A">
      <w:pPr>
        <w:shd w:val="clear" w:color="auto" w:fill="FFFFFF"/>
        <w:spacing w:after="324" w:line="319" w:lineRule="atLeast"/>
        <w:jc w:val="both"/>
        <w:rPr>
          <w:rFonts w:ascii="Calibri" w:eastAsia="Times New Roman" w:hAnsi="Calibri" w:cs="Calibri"/>
          <w:color w:val="444444"/>
          <w:sz w:val="23"/>
          <w:szCs w:val="23"/>
          <w:lang w:eastAsia="es-MX"/>
        </w:rPr>
      </w:pPr>
    </w:p>
    <w:p w:rsidR="000C2E6A" w:rsidRPr="000C2E6A" w:rsidRDefault="000C2E6A" w:rsidP="000C2E6A">
      <w:pPr>
        <w:shd w:val="clear" w:color="auto" w:fill="FFFFFF"/>
        <w:spacing w:after="324" w:line="319" w:lineRule="atLeast"/>
        <w:jc w:val="both"/>
        <w:rPr>
          <w:rFonts w:ascii="Calibri" w:eastAsia="Times New Roman" w:hAnsi="Calibri" w:cs="Calibri"/>
          <w:color w:val="444444"/>
          <w:sz w:val="23"/>
          <w:szCs w:val="23"/>
          <w:lang w:eastAsia="es-MX"/>
        </w:rPr>
      </w:pPr>
      <w:r w:rsidRPr="000C2E6A">
        <w:rPr>
          <w:rFonts w:ascii="Calibri" w:eastAsia="Times New Roman" w:hAnsi="Calibri" w:cs="Calibri"/>
          <w:color w:val="002060"/>
          <w:sz w:val="23"/>
          <w:szCs w:val="23"/>
          <w:lang w:eastAsia="es-MX"/>
        </w:rPr>
        <w:t>4242 APORTACIONES PARA OBRAS DEL 3 X 1: Asignaciones correspondientes a las aportaciones que realiza el Municipio al Ejecutivo para obras del Programa 3x1.</w:t>
      </w:r>
    </w:p>
    <w:p w:rsidR="000C2E6A" w:rsidRDefault="000C2E6A" w:rsidP="000C2E6A">
      <w:pPr>
        <w:jc w:val="both"/>
        <w:rPr>
          <w:rFonts w:ascii="Calibri" w:eastAsia="Times New Roman" w:hAnsi="Calibri" w:cs="Times New Roman"/>
          <w:color w:val="002060"/>
        </w:rPr>
      </w:pPr>
      <w:r>
        <w:rPr>
          <w:rFonts w:ascii="Calibri" w:eastAsia="Times New Roman" w:hAnsi="Calibri" w:cs="Times New Roman"/>
          <w:color w:val="002060"/>
        </w:rPr>
        <w:t>4243 APORTACIONES AL EJECUTIVO PARA OBAS</w:t>
      </w:r>
    </w:p>
    <w:p w:rsidR="000C2E6A" w:rsidRDefault="000C2E6A" w:rsidP="000C2E6A">
      <w:pPr>
        <w:jc w:val="both"/>
        <w:rPr>
          <w:rFonts w:ascii="Calibri" w:eastAsia="Times New Roman" w:hAnsi="Calibri" w:cs="Times New Roman"/>
          <w:color w:val="002060"/>
        </w:rPr>
      </w:pPr>
      <w:r>
        <w:rPr>
          <w:rFonts w:ascii="Calibri" w:eastAsia="Times New Roman" w:hAnsi="Calibri" w:cs="Times New Roman"/>
          <w:color w:val="002060"/>
        </w:rPr>
        <w:t>4244 APORTACIONES AL EJECUTIVO PARA ACCIONES</w:t>
      </w:r>
    </w:p>
    <w:p w:rsidR="000C2E6A" w:rsidRPr="000C2E6A" w:rsidRDefault="000C2E6A" w:rsidP="000C2E6A">
      <w:pPr>
        <w:shd w:val="clear" w:color="auto" w:fill="FFFFFF"/>
        <w:spacing w:after="324" w:line="319" w:lineRule="atLeast"/>
        <w:jc w:val="both"/>
        <w:rPr>
          <w:rFonts w:ascii="Calibri" w:eastAsia="Times New Roman" w:hAnsi="Calibri" w:cs="Calibri"/>
          <w:color w:val="444444"/>
          <w:sz w:val="23"/>
          <w:szCs w:val="23"/>
          <w:lang w:eastAsia="es-MX"/>
        </w:rPr>
      </w:pPr>
    </w:p>
    <w:p w:rsidR="000C2E6A" w:rsidRPr="000C2E6A" w:rsidRDefault="000C2E6A" w:rsidP="000C2E6A">
      <w:pPr>
        <w:shd w:val="clear" w:color="auto" w:fill="FFFFFF"/>
        <w:spacing w:after="324" w:line="319" w:lineRule="atLeast"/>
        <w:jc w:val="both"/>
        <w:rPr>
          <w:rFonts w:ascii="Calibri" w:eastAsia="Times New Roman" w:hAnsi="Calibri" w:cs="Calibri"/>
          <w:color w:val="444444"/>
          <w:sz w:val="23"/>
          <w:szCs w:val="23"/>
          <w:lang w:eastAsia="es-MX"/>
        </w:rPr>
      </w:pPr>
      <w:r w:rsidRPr="000C2E6A">
        <w:rPr>
          <w:rFonts w:ascii="Calibri" w:eastAsia="Times New Roman" w:hAnsi="Calibri" w:cs="Calibri"/>
          <w:color w:val="444444"/>
          <w:sz w:val="23"/>
          <w:szCs w:val="23"/>
          <w:lang w:eastAsia="es-MX"/>
        </w:rPr>
        <w:t>Nota: </w:t>
      </w:r>
    </w:p>
    <w:p w:rsidR="000C2E6A" w:rsidRPr="000C2E6A" w:rsidRDefault="000C2E6A" w:rsidP="000C2E6A">
      <w:pPr>
        <w:shd w:val="clear" w:color="auto" w:fill="FFFFFF"/>
        <w:spacing w:after="324" w:line="319" w:lineRule="atLeast"/>
        <w:jc w:val="both"/>
        <w:rPr>
          <w:rFonts w:ascii="Calibri" w:eastAsia="Times New Roman" w:hAnsi="Calibri" w:cs="Calibri"/>
          <w:color w:val="444444"/>
          <w:sz w:val="23"/>
          <w:szCs w:val="23"/>
          <w:lang w:eastAsia="es-MX"/>
        </w:rPr>
      </w:pPr>
      <w:r>
        <w:rPr>
          <w:rFonts w:ascii="Calibri" w:eastAsia="Times New Roman" w:hAnsi="Calibri" w:cs="Calibri"/>
          <w:color w:val="444444"/>
          <w:sz w:val="23"/>
          <w:szCs w:val="23"/>
          <w:lang w:eastAsia="es-MX"/>
        </w:rPr>
        <w:t>1</w:t>
      </w:r>
      <w:r w:rsidRPr="000C2E6A">
        <w:rPr>
          <w:rFonts w:ascii="Calibri" w:eastAsia="Times New Roman" w:hAnsi="Calibri" w:cs="Calibri"/>
          <w:color w:val="444444"/>
          <w:sz w:val="23"/>
          <w:szCs w:val="23"/>
          <w:lang w:eastAsia="es-MX"/>
        </w:rPr>
        <w:t>. Para el procedimiento de dar de alta las cuentas  en el SAACG.net, dentro del  Clasificador Objeto de Gasto, les pedimos comunicarse con el personal encargado de Armonización Contable del Depto. de Análisis Financiero y Presupuestal de la Auditoría Superior del Estado. O bien, durante las capacitaciones se atenderá dicha adecuación. </w:t>
      </w:r>
    </w:p>
    <w:p w:rsidR="000C2E6A" w:rsidRPr="000C2E6A" w:rsidRDefault="000C2E6A" w:rsidP="000C2E6A">
      <w:pPr>
        <w:spacing w:after="0" w:line="240" w:lineRule="auto"/>
        <w:rPr>
          <w:rFonts w:ascii="Times New Roman" w:eastAsia="Times New Roman" w:hAnsi="Times New Roman" w:cs="Times New Roman"/>
          <w:sz w:val="24"/>
          <w:szCs w:val="24"/>
          <w:lang w:eastAsia="es-MX"/>
        </w:rPr>
      </w:pPr>
      <w:r w:rsidRPr="000C2E6A">
        <w:rPr>
          <w:rFonts w:ascii="Calibri" w:eastAsia="Times New Roman" w:hAnsi="Calibri" w:cs="Calibri"/>
          <w:color w:val="444444"/>
          <w:sz w:val="23"/>
          <w:szCs w:val="23"/>
          <w:lang w:eastAsia="es-MX"/>
        </w:rPr>
        <w:br/>
      </w:r>
    </w:p>
    <w:p w:rsidR="000C2E6A" w:rsidRPr="000C2E6A" w:rsidRDefault="000C2E6A" w:rsidP="000C2E6A">
      <w:pPr>
        <w:shd w:val="clear" w:color="auto" w:fill="FFFFFF"/>
        <w:spacing w:after="324" w:line="319" w:lineRule="atLeast"/>
        <w:rPr>
          <w:rFonts w:ascii="Calibri" w:eastAsia="Times New Roman" w:hAnsi="Calibri" w:cs="Calibri"/>
          <w:color w:val="444444"/>
          <w:sz w:val="23"/>
          <w:szCs w:val="23"/>
          <w:lang w:eastAsia="es-MX"/>
        </w:rPr>
      </w:pPr>
      <w:r w:rsidRPr="000C2E6A">
        <w:rPr>
          <w:rFonts w:ascii="Calibri" w:eastAsia="Times New Roman" w:hAnsi="Calibri" w:cs="Calibri"/>
          <w:b/>
          <w:bCs/>
          <w:color w:val="666666"/>
          <w:sz w:val="27"/>
          <w:szCs w:val="27"/>
          <w:lang w:eastAsia="es-MX"/>
        </w:rPr>
        <w:t>Atentamente </w:t>
      </w:r>
    </w:p>
    <w:p w:rsidR="000C2E6A" w:rsidRPr="000C2E6A" w:rsidRDefault="000C2E6A" w:rsidP="000C2E6A">
      <w:pPr>
        <w:shd w:val="clear" w:color="auto" w:fill="FFFFFF"/>
        <w:spacing w:after="324" w:line="319" w:lineRule="atLeast"/>
        <w:rPr>
          <w:rFonts w:ascii="Calibri" w:eastAsia="Times New Roman" w:hAnsi="Calibri" w:cs="Calibri"/>
          <w:color w:val="444444"/>
          <w:sz w:val="23"/>
          <w:szCs w:val="23"/>
          <w:lang w:eastAsia="es-MX"/>
        </w:rPr>
      </w:pPr>
      <w:r w:rsidRPr="000C2E6A">
        <w:rPr>
          <w:rFonts w:ascii="Calibri" w:eastAsia="Times New Roman" w:hAnsi="Calibri" w:cs="Calibri"/>
          <w:color w:val="666666"/>
          <w:sz w:val="24"/>
          <w:szCs w:val="24"/>
          <w:lang w:eastAsia="es-MX"/>
        </w:rPr>
        <w:t> </w:t>
      </w:r>
      <w:r w:rsidRPr="000C2E6A">
        <w:rPr>
          <w:rFonts w:ascii="Calibri" w:eastAsia="Times New Roman" w:hAnsi="Calibri" w:cs="Calibri"/>
          <w:b/>
          <w:bCs/>
          <w:color w:val="666666"/>
          <w:sz w:val="27"/>
          <w:szCs w:val="27"/>
          <w:lang w:eastAsia="es-MX"/>
        </w:rPr>
        <w:t>Dpto. Análisis Financiero y Presupuestal </w:t>
      </w:r>
    </w:p>
    <w:p w:rsidR="000C2E6A" w:rsidRPr="000C2E6A" w:rsidRDefault="000C2E6A" w:rsidP="000C2E6A">
      <w:pPr>
        <w:shd w:val="clear" w:color="auto" w:fill="FFFFFF"/>
        <w:spacing w:after="324" w:line="319" w:lineRule="atLeast"/>
        <w:rPr>
          <w:rFonts w:ascii="Calibri" w:eastAsia="Times New Roman" w:hAnsi="Calibri" w:cs="Calibri"/>
          <w:color w:val="444444"/>
          <w:sz w:val="23"/>
          <w:szCs w:val="23"/>
          <w:lang w:eastAsia="es-MX"/>
        </w:rPr>
      </w:pPr>
      <w:r w:rsidRPr="000C2E6A">
        <w:rPr>
          <w:rFonts w:ascii="Calibri" w:eastAsia="Times New Roman" w:hAnsi="Calibri" w:cs="Calibri"/>
          <w:b/>
          <w:bCs/>
          <w:color w:val="666666"/>
          <w:sz w:val="27"/>
          <w:szCs w:val="27"/>
          <w:lang w:eastAsia="es-MX"/>
        </w:rPr>
        <w:t>Dir. Auditoría Financiera a Municipios</w:t>
      </w:r>
    </w:p>
    <w:p w:rsidR="000C2E6A" w:rsidRPr="000C2E6A" w:rsidRDefault="000C2E6A" w:rsidP="000C2E6A">
      <w:pPr>
        <w:shd w:val="clear" w:color="auto" w:fill="FFFFFF"/>
        <w:spacing w:after="324" w:line="319" w:lineRule="atLeast"/>
        <w:rPr>
          <w:rFonts w:ascii="Calibri" w:eastAsia="Times New Roman" w:hAnsi="Calibri" w:cs="Calibri"/>
          <w:color w:val="444444"/>
          <w:sz w:val="23"/>
          <w:szCs w:val="23"/>
          <w:lang w:eastAsia="es-MX"/>
        </w:rPr>
      </w:pPr>
      <w:r w:rsidRPr="000C2E6A">
        <w:rPr>
          <w:rFonts w:ascii="Calibri" w:eastAsia="Times New Roman" w:hAnsi="Calibri" w:cs="Calibri"/>
          <w:b/>
          <w:bCs/>
          <w:color w:val="666666"/>
          <w:sz w:val="27"/>
          <w:szCs w:val="27"/>
          <w:lang w:eastAsia="es-MX"/>
        </w:rPr>
        <w:lastRenderedPageBreak/>
        <w:t>Auditoría Superior del Estado</w:t>
      </w:r>
    </w:p>
    <w:tbl>
      <w:tblPr>
        <w:tblW w:w="0" w:type="auto"/>
        <w:tblCellSpacing w:w="0" w:type="dxa"/>
        <w:tblCellMar>
          <w:left w:w="0" w:type="dxa"/>
          <w:right w:w="0" w:type="dxa"/>
        </w:tblCellMar>
        <w:tblLook w:val="04A0" w:firstRow="1" w:lastRow="0" w:firstColumn="1" w:lastColumn="0" w:noHBand="0" w:noVBand="1"/>
      </w:tblPr>
      <w:tblGrid>
        <w:gridCol w:w="725"/>
        <w:gridCol w:w="2242"/>
      </w:tblGrid>
      <w:tr w:rsidR="000C2E6A" w:rsidRPr="000C2E6A" w:rsidTr="000C2E6A">
        <w:trPr>
          <w:tblCellSpacing w:w="0" w:type="dxa"/>
        </w:trPr>
        <w:tc>
          <w:tcPr>
            <w:tcW w:w="0" w:type="auto"/>
            <w:noWrap/>
            <w:tcMar>
              <w:top w:w="0" w:type="dxa"/>
              <w:left w:w="0" w:type="dxa"/>
              <w:bottom w:w="30" w:type="dxa"/>
              <w:right w:w="60" w:type="dxa"/>
            </w:tcMar>
            <w:hideMark/>
          </w:tcPr>
          <w:p w:rsidR="000C2E6A" w:rsidRPr="000C2E6A" w:rsidRDefault="000C2E6A" w:rsidP="000C2E6A">
            <w:pPr>
              <w:spacing w:after="0" w:line="258" w:lineRule="atLeast"/>
              <w:rPr>
                <w:rFonts w:ascii="Segoe UI" w:eastAsia="Times New Roman" w:hAnsi="Segoe UI" w:cs="Segoe UI"/>
                <w:color w:val="666666"/>
                <w:sz w:val="18"/>
                <w:szCs w:val="18"/>
                <w:lang w:eastAsia="es-MX"/>
              </w:rPr>
            </w:pPr>
            <w:r w:rsidRPr="000C2E6A">
              <w:rPr>
                <w:rFonts w:ascii="Segoe UI" w:eastAsia="Times New Roman" w:hAnsi="Segoe UI" w:cs="Segoe UI"/>
                <w:color w:val="666666"/>
                <w:sz w:val="18"/>
                <w:szCs w:val="18"/>
                <w:lang w:eastAsia="es-MX"/>
              </w:rPr>
              <w:t>Enviado:</w:t>
            </w:r>
          </w:p>
        </w:tc>
        <w:tc>
          <w:tcPr>
            <w:tcW w:w="0" w:type="auto"/>
            <w:tcMar>
              <w:top w:w="0" w:type="dxa"/>
              <w:left w:w="0" w:type="dxa"/>
              <w:bottom w:w="30" w:type="dxa"/>
              <w:right w:w="60" w:type="dxa"/>
            </w:tcMar>
            <w:hideMark/>
          </w:tcPr>
          <w:p w:rsidR="000C2E6A" w:rsidRPr="000C2E6A" w:rsidRDefault="000C2E6A" w:rsidP="000C2E6A">
            <w:pPr>
              <w:spacing w:after="0" w:line="258" w:lineRule="atLeast"/>
              <w:rPr>
                <w:rFonts w:ascii="Segoe UI" w:eastAsia="Times New Roman" w:hAnsi="Segoe UI" w:cs="Segoe UI"/>
                <w:color w:val="000000"/>
                <w:sz w:val="18"/>
                <w:szCs w:val="18"/>
                <w:lang w:eastAsia="es-MX"/>
              </w:rPr>
            </w:pPr>
            <w:r w:rsidRPr="000C2E6A">
              <w:rPr>
                <w:rFonts w:ascii="Segoe UI" w:eastAsia="Times New Roman" w:hAnsi="Segoe UI" w:cs="Segoe UI"/>
                <w:color w:val="000000"/>
                <w:sz w:val="18"/>
                <w:szCs w:val="18"/>
                <w:lang w:eastAsia="es-MX"/>
              </w:rPr>
              <w:t>lunes, 03 de marzo de 2014</w:t>
            </w:r>
          </w:p>
        </w:tc>
      </w:tr>
    </w:tbl>
    <w:p w:rsidR="000C2E6A" w:rsidRDefault="000C2E6A"/>
    <w:sectPr w:rsidR="000C2E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E6A"/>
    <w:rsid w:val="000C2E6A"/>
    <w:rsid w:val="004975F4"/>
    <w:rsid w:val="00A651D8"/>
    <w:rsid w:val="00D238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0C2E6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0C2E6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80851">
      <w:bodyDiv w:val="1"/>
      <w:marLeft w:val="0"/>
      <w:marRight w:val="0"/>
      <w:marTop w:val="0"/>
      <w:marBottom w:val="0"/>
      <w:divBdr>
        <w:top w:val="none" w:sz="0" w:space="0" w:color="auto"/>
        <w:left w:val="none" w:sz="0" w:space="0" w:color="auto"/>
        <w:bottom w:val="none" w:sz="0" w:space="0" w:color="auto"/>
        <w:right w:val="none" w:sz="0" w:space="0" w:color="auto"/>
      </w:divBdr>
    </w:div>
    <w:div w:id="176614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217</Words>
  <Characters>1196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2014-05-21T19:25:00Z</dcterms:created>
  <dcterms:modified xsi:type="dcterms:W3CDTF">2015-05-28T19:50:00Z</dcterms:modified>
</cp:coreProperties>
</file>